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9DD8C0" w14:textId="3CCB9029" w:rsidR="007244CA" w:rsidRDefault="00C456D0">
      <w:pPr>
        <w:jc w:val="both"/>
        <w:rPr>
          <w:rFonts w:ascii="Calibri" w:eastAsia="Calibri" w:hAnsi="Calibri" w:cs="Calibri"/>
          <w:b/>
          <w:sz w:val="24"/>
          <w:szCs w:val="24"/>
        </w:rPr>
      </w:pPr>
      <w:r w:rsidRPr="00C456D0">
        <w:rPr>
          <w:rFonts w:ascii="Calibri" w:eastAsia="Calibri" w:hAnsi="Calibri" w:cs="Calibri"/>
          <w:b/>
          <w:sz w:val="24"/>
          <w:szCs w:val="24"/>
        </w:rPr>
        <w:t xml:space="preserve">Supplementary </w:t>
      </w:r>
      <w:r w:rsidR="009162B2">
        <w:rPr>
          <w:rFonts w:ascii="Calibri" w:eastAsia="Calibri" w:hAnsi="Calibri" w:cs="Calibri"/>
          <w:b/>
          <w:sz w:val="24"/>
          <w:szCs w:val="24"/>
        </w:rPr>
        <w:t>Table 1</w:t>
      </w:r>
      <w:r w:rsidR="00EC3E49">
        <w:rPr>
          <w:rFonts w:ascii="Calibri" w:eastAsia="Calibri" w:hAnsi="Calibri" w:cs="Calibri"/>
          <w:b/>
          <w:sz w:val="24"/>
          <w:szCs w:val="24"/>
        </w:rPr>
        <w:t>3</w:t>
      </w:r>
      <w:bookmarkStart w:id="0" w:name="_GoBack"/>
      <w:bookmarkEnd w:id="0"/>
      <w:r w:rsidR="009162B2">
        <w:rPr>
          <w:rFonts w:ascii="Calibri" w:eastAsia="Calibri" w:hAnsi="Calibri" w:cs="Calibri"/>
          <w:b/>
          <w:sz w:val="24"/>
          <w:szCs w:val="24"/>
        </w:rPr>
        <w:t xml:space="preserve">. Element-specific features scored for use in </w:t>
      </w:r>
      <w:proofErr w:type="spellStart"/>
      <w:r w:rsidR="009162B2">
        <w:rPr>
          <w:rFonts w:ascii="Calibri" w:eastAsia="Calibri" w:hAnsi="Calibri" w:cs="Calibri"/>
          <w:b/>
          <w:sz w:val="24"/>
          <w:szCs w:val="24"/>
        </w:rPr>
        <w:t>OnCohortDrive</w:t>
      </w:r>
      <w:proofErr w:type="spellEnd"/>
    </w:p>
    <w:p w14:paraId="1E90E564" w14:textId="77777777" w:rsidR="007244CA" w:rsidRDefault="009162B2">
      <w:pPr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tbl>
      <w:tblPr>
        <w:tblStyle w:val="a"/>
        <w:tblW w:w="9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2551"/>
        <w:gridCol w:w="5121"/>
      </w:tblGrid>
      <w:tr w:rsidR="007244CA" w14:paraId="02B2A8C1" w14:textId="77777777">
        <w:tc>
          <w:tcPr>
            <w:tcW w:w="1555" w:type="dxa"/>
          </w:tcPr>
          <w:p w14:paraId="37BCE42D" w14:textId="77777777" w:rsidR="007244CA" w:rsidRDefault="009162B2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Element</w:t>
            </w:r>
          </w:p>
        </w:tc>
        <w:tc>
          <w:tcPr>
            <w:tcW w:w="2551" w:type="dxa"/>
          </w:tcPr>
          <w:p w14:paraId="648A6AB0" w14:textId="77777777" w:rsidR="007244CA" w:rsidRDefault="009162B2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Score</w:t>
            </w:r>
          </w:p>
        </w:tc>
        <w:tc>
          <w:tcPr>
            <w:tcW w:w="5121" w:type="dxa"/>
          </w:tcPr>
          <w:p w14:paraId="2D2BC1B3" w14:textId="77777777" w:rsidR="007244CA" w:rsidRDefault="009162B2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Description</w:t>
            </w:r>
          </w:p>
        </w:tc>
      </w:tr>
      <w:tr w:rsidR="007244CA" w14:paraId="50020E24" w14:textId="77777777">
        <w:tc>
          <w:tcPr>
            <w:tcW w:w="1555" w:type="dxa"/>
          </w:tcPr>
          <w:p w14:paraId="1B00947C" w14:textId="77777777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CDS</w:t>
            </w:r>
          </w:p>
        </w:tc>
        <w:tc>
          <w:tcPr>
            <w:tcW w:w="2551" w:type="dxa"/>
          </w:tcPr>
          <w:p w14:paraId="004D1E83" w14:textId="77777777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Truncating mutation in a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tumour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suppressor gene</w:t>
            </w:r>
          </w:p>
        </w:tc>
        <w:tc>
          <w:tcPr>
            <w:tcW w:w="5121" w:type="dxa"/>
          </w:tcPr>
          <w:p w14:paraId="29983A51" w14:textId="1850A8F0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High confidence truncating variants in tumor suppressor genes were obtained using Variant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Ensembl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Predictor</w:t>
            </w:r>
            <w:r w:rsidRPr="009162B2">
              <w:rPr>
                <w:rFonts w:ascii="Calibri" w:eastAsia="Calibri" w:hAnsi="Calibri" w:cs="Calibri"/>
                <w:sz w:val="24"/>
                <w:szCs w:val="24"/>
                <w:vertAlign w:val="superscript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(VEP) with LOFTEE plugin.</w:t>
            </w:r>
          </w:p>
        </w:tc>
      </w:tr>
      <w:tr w:rsidR="007244CA" w14:paraId="467C696D" w14:textId="77777777">
        <w:tc>
          <w:tcPr>
            <w:tcW w:w="1555" w:type="dxa"/>
          </w:tcPr>
          <w:p w14:paraId="79E565B3" w14:textId="77777777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Promoters, 5’-UTR, enhancers</w:t>
            </w:r>
          </w:p>
        </w:tc>
        <w:tc>
          <w:tcPr>
            <w:tcW w:w="2551" w:type="dxa"/>
          </w:tcPr>
          <w:p w14:paraId="707B7012" w14:textId="77777777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TFBS creation and disruption</w:t>
            </w:r>
          </w:p>
        </w:tc>
        <w:tc>
          <w:tcPr>
            <w:tcW w:w="5121" w:type="dxa"/>
          </w:tcPr>
          <w:p w14:paraId="4A87600B" w14:textId="32B22D67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The scores for TFBS creation (motif gain) and disruption (motif break) were computed by following the steps described in Fu et al. (FunSeq2)</w:t>
            </w:r>
            <w:r>
              <w:rPr>
                <w:rFonts w:ascii="Calibri" w:eastAsia="Calibri" w:hAnsi="Calibri" w:cs="Calibri"/>
                <w:sz w:val="24"/>
                <w:szCs w:val="24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 The score value indicates the difference between position weight matrix matching scores of the reference and mutant alleles.</w:t>
            </w:r>
          </w:p>
        </w:tc>
      </w:tr>
      <w:tr w:rsidR="007244CA" w14:paraId="7C9955A3" w14:textId="77777777">
        <w:tc>
          <w:tcPr>
            <w:tcW w:w="1555" w:type="dxa"/>
          </w:tcPr>
          <w:p w14:paraId="2DE555DD" w14:textId="77777777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3’-UTR</w:t>
            </w:r>
          </w:p>
        </w:tc>
        <w:tc>
          <w:tcPr>
            <w:tcW w:w="2551" w:type="dxa"/>
          </w:tcPr>
          <w:p w14:paraId="521BBBE7" w14:textId="77777777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Experimentally verified and </w:t>
            </w:r>
            <w:r>
              <w:rPr>
                <w:rFonts w:ascii="Calibri" w:eastAsia="Calibri" w:hAnsi="Calibri" w:cs="Calibri"/>
                <w:i/>
                <w:sz w:val="24"/>
                <w:szCs w:val="24"/>
              </w:rPr>
              <w:t>in silico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prediction of miRNA binding disruption</w:t>
            </w:r>
          </w:p>
        </w:tc>
        <w:tc>
          <w:tcPr>
            <w:tcW w:w="5121" w:type="dxa"/>
          </w:tcPr>
          <w:p w14:paraId="0D0464BD" w14:textId="77777777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This includes the collection of miRNA binding sites that were experimentally identified using AGO-CLIP from 32 individual datasets, as well as the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TargetScan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predicted miRNA binding motifs on reference sequence (provided by Mark Hamilton; syn4485000).</w:t>
            </w:r>
          </w:p>
        </w:tc>
      </w:tr>
      <w:tr w:rsidR="007244CA" w14:paraId="7985540F" w14:textId="77777777">
        <w:tc>
          <w:tcPr>
            <w:tcW w:w="1555" w:type="dxa"/>
          </w:tcPr>
          <w:p w14:paraId="21774A26" w14:textId="77777777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miRNA</w:t>
            </w:r>
          </w:p>
        </w:tc>
        <w:tc>
          <w:tcPr>
            <w:tcW w:w="2551" w:type="dxa"/>
          </w:tcPr>
          <w:p w14:paraId="78645810" w14:textId="77777777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RNASnp</w:t>
            </w:r>
            <w:proofErr w:type="spellEnd"/>
          </w:p>
        </w:tc>
        <w:tc>
          <w:tcPr>
            <w:tcW w:w="5121" w:type="dxa"/>
          </w:tcPr>
          <w:p w14:paraId="3C9349DC" w14:textId="2EBD16B1" w:rsidR="007244CA" w:rsidRDefault="009162B2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The impact of mutations on the secondary structure of miRNAs (hairpins) were computed using the RNAsnp</w:t>
            </w:r>
            <w:r>
              <w:rPr>
                <w:rFonts w:ascii="Calibri" w:eastAsia="Calibri" w:hAnsi="Calibri" w:cs="Calibri"/>
                <w:sz w:val="24"/>
                <w:szCs w:val="24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. The ‘Mode 1’ option of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RNAsnp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was used to obtain the Euclidean distance score, which indicates the differences in the base pair probabilities of wild-type and mutant structure. </w:t>
            </w:r>
          </w:p>
        </w:tc>
      </w:tr>
    </w:tbl>
    <w:p w14:paraId="0AF6CD2C" w14:textId="77777777" w:rsidR="007244CA" w:rsidRDefault="007244CA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929BF11" w14:textId="77777777" w:rsidR="007244CA" w:rsidRDefault="007244CA">
      <w:pPr>
        <w:rPr>
          <w:rFonts w:ascii="Calibri" w:eastAsia="Calibri" w:hAnsi="Calibri" w:cs="Calibri"/>
          <w:sz w:val="24"/>
          <w:szCs w:val="24"/>
        </w:rPr>
      </w:pPr>
    </w:p>
    <w:p w14:paraId="1193BDDB" w14:textId="77777777" w:rsidR="007244CA" w:rsidRDefault="009162B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References:</w:t>
      </w:r>
    </w:p>
    <w:p w14:paraId="6BE72364" w14:textId="77777777" w:rsidR="007244CA" w:rsidRDefault="009162B2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McLaren, W. et al. The </w:t>
      </w:r>
      <w:proofErr w:type="spellStart"/>
      <w:r>
        <w:rPr>
          <w:rFonts w:ascii="Calibri" w:eastAsia="Calibri" w:hAnsi="Calibri" w:cs="Calibri"/>
          <w:sz w:val="24"/>
          <w:szCs w:val="24"/>
        </w:rPr>
        <w:t>Ensembl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Variant Effect Predictor. Genome Biol. 17, 122 (2016).</w:t>
      </w:r>
    </w:p>
    <w:p w14:paraId="1D45B34F" w14:textId="77777777" w:rsidR="007244CA" w:rsidRDefault="009162B2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Fu, Y. et al. FunSeq2: a framework for prioritizing noncoding regulatory variants in cancer. Genome Biol. 15, 480 (2014).</w:t>
      </w:r>
    </w:p>
    <w:p w14:paraId="15FC9A78" w14:textId="77777777" w:rsidR="007244CA" w:rsidRDefault="009162B2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Sabarinathan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R. et al. </w:t>
      </w:r>
      <w:proofErr w:type="spellStart"/>
      <w:r>
        <w:rPr>
          <w:rFonts w:ascii="Calibri" w:eastAsia="Calibri" w:hAnsi="Calibri" w:cs="Calibri"/>
          <w:sz w:val="24"/>
          <w:szCs w:val="24"/>
        </w:rPr>
        <w:t>RNAsnp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: efficient detection of local RNA secondary structure changes induced by SNPs. Hum. </w:t>
      </w:r>
      <w:proofErr w:type="spellStart"/>
      <w:r>
        <w:rPr>
          <w:rFonts w:ascii="Calibri" w:eastAsia="Calibri" w:hAnsi="Calibri" w:cs="Calibri"/>
          <w:sz w:val="24"/>
          <w:szCs w:val="24"/>
        </w:rPr>
        <w:t>Mutat</w:t>
      </w:r>
      <w:proofErr w:type="spellEnd"/>
      <w:r>
        <w:rPr>
          <w:rFonts w:ascii="Calibri" w:eastAsia="Calibri" w:hAnsi="Calibri" w:cs="Calibri"/>
          <w:sz w:val="24"/>
          <w:szCs w:val="24"/>
        </w:rPr>
        <w:t>. 34, 546–56 (2013).</w:t>
      </w:r>
    </w:p>
    <w:p w14:paraId="16BEACFC" w14:textId="77777777" w:rsidR="007244CA" w:rsidRDefault="007244CA">
      <w:pPr>
        <w:rPr>
          <w:rFonts w:ascii="Calibri" w:eastAsia="Calibri" w:hAnsi="Calibri" w:cs="Calibri"/>
          <w:sz w:val="24"/>
          <w:szCs w:val="24"/>
        </w:rPr>
      </w:pPr>
    </w:p>
    <w:p w14:paraId="2BFF0CA6" w14:textId="77777777" w:rsidR="007244CA" w:rsidRDefault="007244CA"/>
    <w:sectPr w:rsidR="007244C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D6710"/>
    <w:multiLevelType w:val="multilevel"/>
    <w:tmpl w:val="574EE1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CA"/>
    <w:rsid w:val="007244CA"/>
    <w:rsid w:val="009162B2"/>
    <w:rsid w:val="00C456D0"/>
    <w:rsid w:val="00EC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84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62B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2B2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62B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2B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392819-8523-4775-99C4-322A4146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Mayhew, Hazel</cp:lastModifiedBy>
  <cp:revision>4</cp:revision>
  <dcterms:created xsi:type="dcterms:W3CDTF">2019-08-09T16:32:00Z</dcterms:created>
  <dcterms:modified xsi:type="dcterms:W3CDTF">2020-01-15T17:40:00Z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6th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</vt:lpwstr>
  </property>
  <property fmtid="{D5CDD505-2E9C-101B-9397-08002B2CF9AE}" pid="8" name="Mendeley Recent Style Id 3_1">
    <vt:lpwstr>http://www.zotero.org/styles/ieee</vt:lpwstr>
  </property>
  <property fmtid="{D5CDD505-2E9C-101B-9397-08002B2CF9AE}" pid="9" name="Mendeley Recent Style Name 3_1">
    <vt:lpwstr>IEEE</vt:lpwstr>
  </property>
  <property fmtid="{D5CDD505-2E9C-101B-9397-08002B2CF9AE}" pid="10" name="Mendeley Recent Style Id 4_1">
    <vt:lpwstr>http://www.zotero.org/styles/modern-humanities-research-association</vt:lpwstr>
  </property>
  <property fmtid="{D5CDD505-2E9C-101B-9397-08002B2CF9AE}" pid="11" name="Mendeley Recent Style Name 4_1">
    <vt:lpwstr>Modern Humanities Research Association 3rd edition (note with bibliography)</vt:lpwstr>
  </property>
  <property fmtid="{D5CDD505-2E9C-101B-9397-08002B2CF9AE}" pid="12" name="Mendeley Recent Style Id 5_1">
    <vt:lpwstr>http://www.zotero.org/styles/nature</vt:lpwstr>
  </property>
  <property fmtid="{D5CDD505-2E9C-101B-9397-08002B2CF9AE}" pid="13" name="Mendeley Recent Style Name 5_1">
    <vt:lpwstr>Nature</vt:lpwstr>
  </property>
  <property fmtid="{D5CDD505-2E9C-101B-9397-08002B2CF9AE}" pid="14" name="Mendeley Recent Style Id 6_1">
    <vt:lpwstr>http://www.zotero.org/styles/nature-genetics</vt:lpwstr>
  </property>
  <property fmtid="{D5CDD505-2E9C-101B-9397-08002B2CF9AE}" pid="15" name="Mendeley Recent Style Name 6_1">
    <vt:lpwstr>Nature Genetics</vt:lpwstr>
  </property>
  <property fmtid="{D5CDD505-2E9C-101B-9397-08002B2CF9AE}" pid="16" name="Mendeley Recent Style Id 7_1">
    <vt:lpwstr>http://csl.mendeley.com/styles/30701751/Sanger-QQR</vt:lpwstr>
  </property>
  <property fmtid="{D5CDD505-2E9C-101B-9397-08002B2CF9AE}" pid="17" name="Mendeley Recent Style Name 7_1">
    <vt:lpwstr>Sanger QQR - Peter Campbell</vt:lpwstr>
  </property>
  <property fmtid="{D5CDD505-2E9C-101B-9397-08002B2CF9AE}" pid="18" name="Mendeley Recent Style Id 8_1">
    <vt:lpwstr>http://www.zotero.org/styles/the-new-england-journal-of-medicine</vt:lpwstr>
  </property>
  <property fmtid="{D5CDD505-2E9C-101B-9397-08002B2CF9AE}" pid="19" name="Mendeley Recent Style Name 8_1">
    <vt:lpwstr>The New England Journal of Medicine</vt:lpwstr>
  </property>
  <property fmtid="{D5CDD505-2E9C-101B-9397-08002B2CF9AE}" pid="20" name="Mendeley Recent Style Id 9_1">
    <vt:lpwstr>http://csl.mendeley.com/styles/30701751/the-new-england-journal-of-medicine</vt:lpwstr>
  </property>
  <property fmtid="{D5CDD505-2E9C-101B-9397-08002B2CF9AE}" pid="21" name="Mendeley Recent Style Name 9_1">
    <vt:lpwstr>The New England Journal of Medicine - Peter Campbell</vt:lpwstr>
  </property>
</Properties>
</file>